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5"/>
        <w:rPr>
          <w:rFonts w:hint="eastAsia"/>
          <w:szCs w:val="36"/>
        </w:rPr>
      </w:pPr>
      <w:r>
        <w:rPr>
          <w:rFonts w:hint="eastAsia"/>
          <w:szCs w:val="36"/>
        </w:rPr>
        <w:t>江苏省中医院医疗设备调研公告</w:t>
      </w:r>
    </w:p>
    <w:p w14:paraId="2A0767D5">
      <w:pPr>
        <w:spacing w:line="360" w:lineRule="auto"/>
        <w:ind w:firstLine="360" w:firstLineChars="150"/>
        <w:rPr>
          <w:rFonts w:hint="eastAsia" w:ascii="宋体" w:hAnsi="宋体"/>
          <w:color w:val="000000"/>
          <w:sz w:val="24"/>
        </w:rPr>
      </w:pPr>
      <w:r>
        <w:rPr>
          <w:rFonts w:hint="eastAsia" w:ascii="宋体" w:hAnsi="宋体"/>
          <w:color w:val="000000"/>
          <w:sz w:val="24"/>
        </w:rPr>
        <w:t>我院为保证正常的工作开展，根据《中华人民共和国财政部令第87号--政府采购货物和服务招标投标管理办法》第十条的规定，现拟对</w:t>
      </w:r>
      <w:r>
        <w:rPr>
          <w:rFonts w:hint="eastAsia" w:ascii="宋体" w:hAnsi="宋体"/>
          <w:color w:val="FF0000"/>
          <w:sz w:val="24"/>
          <w:u w:val="single"/>
        </w:rPr>
        <w:t xml:space="preserve"> 整形外科手术显微镜</w:t>
      </w:r>
      <w:r>
        <w:rPr>
          <w:rFonts w:ascii="宋体" w:hAnsi="宋体"/>
          <w:color w:val="FF0000"/>
          <w:sz w:val="24"/>
          <w:u w:val="single"/>
        </w:rPr>
        <w:t xml:space="preserve"> </w:t>
      </w:r>
      <w:r>
        <w:rPr>
          <w:rFonts w:hint="eastAsia" w:ascii="宋体" w:hAnsi="宋体"/>
          <w:color w:val="000000"/>
          <w:sz w:val="24"/>
        </w:rPr>
        <w:t>项目进行院内调研。调研完成后外送招标。</w:t>
      </w:r>
    </w:p>
    <w:p w14:paraId="3119BB05">
      <w:pPr>
        <w:spacing w:line="360" w:lineRule="auto"/>
        <w:ind w:firstLine="360" w:firstLineChars="150"/>
        <w:rPr>
          <w:rFonts w:hint="eastAsia" w:ascii="宋体" w:hAnsi="宋体"/>
          <w:color w:val="000000"/>
          <w:sz w:val="24"/>
        </w:rPr>
      </w:pPr>
      <w:r>
        <w:rPr>
          <w:rFonts w:hint="eastAsia" w:ascii="宋体" w:hAnsi="宋体"/>
          <w:sz w:val="24"/>
        </w:rPr>
        <w:t>说明：</w:t>
      </w:r>
      <w:r>
        <w:rPr>
          <w:rFonts w:hint="eastAsia" w:ascii="宋体" w:hAnsi="宋体"/>
          <w:sz w:val="24"/>
          <w:lang w:val="en-US" w:eastAsia="zh-CN"/>
        </w:rPr>
        <w:t>为进一步充分竞争</w:t>
      </w:r>
      <w:bookmarkStart w:id="0" w:name="_GoBack"/>
      <w:bookmarkEnd w:id="0"/>
      <w:r>
        <w:rPr>
          <w:rFonts w:hint="eastAsia" w:ascii="宋体" w:hAnsi="宋体"/>
          <w:sz w:val="24"/>
          <w:lang w:val="en-US" w:eastAsia="zh-CN"/>
        </w:rPr>
        <w:t>，</w:t>
      </w:r>
      <w:r>
        <w:rPr>
          <w:rFonts w:hint="eastAsia" w:ascii="宋体" w:hAnsi="宋体"/>
          <w:sz w:val="24"/>
        </w:rPr>
        <w:t>本次公告为第二次发出，本项目进行第二次公告。</w:t>
      </w:r>
    </w:p>
    <w:p w14:paraId="79272F04">
      <w:pPr>
        <w:numPr>
          <w:ilvl w:val="0"/>
          <w:numId w:val="1"/>
        </w:numPr>
        <w:spacing w:line="360" w:lineRule="auto"/>
        <w:rPr>
          <w:rFonts w:hint="eastAsia" w:ascii="宋体" w:hAnsi="宋体"/>
          <w:b/>
          <w:color w:val="000000"/>
          <w:sz w:val="24"/>
        </w:rPr>
      </w:pPr>
      <w:r>
        <w:rPr>
          <w:rFonts w:hint="eastAsia" w:ascii="宋体" w:hAnsi="宋体"/>
          <w:b/>
          <w:color w:val="000000"/>
          <w:sz w:val="24"/>
        </w:rPr>
        <w:t>调研项目编号：</w:t>
      </w:r>
      <w:r>
        <w:rPr>
          <w:rFonts w:ascii="宋体" w:hAnsi="宋体"/>
          <w:b/>
          <w:color w:val="000000"/>
          <w:sz w:val="24"/>
        </w:rPr>
        <w:t>sbc25-dy014</w:t>
      </w:r>
    </w:p>
    <w:p w14:paraId="6F43A815">
      <w:pPr>
        <w:spacing w:line="360" w:lineRule="auto"/>
        <w:rPr>
          <w:rFonts w:ascii="宋体" w:hAnsi="宋体"/>
          <w:b/>
          <w:color w:val="000000"/>
          <w:sz w:val="24"/>
        </w:rPr>
      </w:pPr>
      <w:r>
        <w:rPr>
          <w:rFonts w:hint="eastAsia" w:ascii="宋体" w:hAnsi="宋体"/>
          <w:b/>
          <w:color w:val="000000"/>
          <w:sz w:val="24"/>
        </w:rPr>
        <w:t>二、调研项目简介：</w:t>
      </w:r>
    </w:p>
    <w:tbl>
      <w:tblPr>
        <w:tblStyle w:val="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783"/>
      </w:tblGrid>
      <w:tr w14:paraId="3A979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91" w:type="dxa"/>
            <w:vAlign w:val="center"/>
          </w:tcPr>
          <w:p w14:paraId="119422BF">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vAlign w:val="center"/>
          </w:tcPr>
          <w:p w14:paraId="7B05A943">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名称</w:t>
            </w:r>
          </w:p>
        </w:tc>
        <w:tc>
          <w:tcPr>
            <w:tcW w:w="1783" w:type="dxa"/>
            <w:vAlign w:val="center"/>
          </w:tcPr>
          <w:p w14:paraId="233B722B">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r>
      <w:tr w14:paraId="30032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vAlign w:val="center"/>
          </w:tcPr>
          <w:p w14:paraId="6433F9EC">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vAlign w:val="center"/>
          </w:tcPr>
          <w:p w14:paraId="3907CC32">
            <w:pPr>
              <w:spacing w:line="360" w:lineRule="auto"/>
              <w:rPr>
                <w:rFonts w:ascii="宋体" w:hAnsi="宋体"/>
                <w:color w:val="FF0000"/>
                <w:sz w:val="24"/>
                <w:u w:val="single"/>
              </w:rPr>
            </w:pPr>
            <w:r>
              <w:rPr>
                <w:rFonts w:ascii="宋体" w:hAnsi="宋体"/>
                <w:color w:val="FF0000"/>
                <w:sz w:val="24"/>
              </w:rPr>
              <w:t xml:space="preserve">          </w:t>
            </w:r>
            <w:r>
              <w:rPr>
                <w:rFonts w:hint="eastAsia" w:ascii="宋体" w:hAnsi="宋体"/>
                <w:color w:val="FF0000"/>
                <w:sz w:val="24"/>
                <w:u w:val="single"/>
              </w:rPr>
              <w:t>整形外科手术显微镜</w:t>
            </w:r>
            <w:r>
              <w:rPr>
                <w:rFonts w:ascii="宋体" w:hAnsi="宋体"/>
                <w:color w:val="FF0000"/>
                <w:sz w:val="24"/>
                <w:u w:val="single"/>
              </w:rPr>
              <w:t xml:space="preserve">  </w:t>
            </w:r>
          </w:p>
        </w:tc>
        <w:tc>
          <w:tcPr>
            <w:tcW w:w="1783" w:type="dxa"/>
            <w:shd w:val="clear" w:color="000000" w:fill="FFFFFF"/>
            <w:vAlign w:val="center"/>
          </w:tcPr>
          <w:p w14:paraId="7B315E7F">
            <w:pPr>
              <w:widowControl/>
              <w:spacing w:line="360" w:lineRule="auto"/>
              <w:rPr>
                <w:rFonts w:ascii="宋体" w:hAnsi="宋体"/>
                <w:color w:val="000000"/>
                <w:sz w:val="24"/>
              </w:rPr>
            </w:pPr>
            <w:r>
              <w:rPr>
                <w:rFonts w:ascii="宋体" w:hAnsi="宋体"/>
                <w:color w:val="000000"/>
                <w:sz w:val="24"/>
              </w:rPr>
              <w:t xml:space="preserve">     </w:t>
            </w:r>
            <w:r>
              <w:rPr>
                <w:rFonts w:ascii="宋体" w:hAnsi="宋体"/>
                <w:color w:val="FF0000"/>
                <w:sz w:val="24"/>
                <w:u w:val="single"/>
              </w:rPr>
              <w:t xml:space="preserve">  </w:t>
            </w:r>
            <w:r>
              <w:rPr>
                <w:rFonts w:hint="eastAsia" w:ascii="宋体" w:hAnsi="宋体"/>
                <w:color w:val="FF0000"/>
                <w:sz w:val="24"/>
                <w:u w:val="single"/>
              </w:rPr>
              <w:t>1</w:t>
            </w:r>
            <w:r>
              <w:rPr>
                <w:rFonts w:ascii="宋体" w:hAnsi="宋体"/>
                <w:color w:val="FF0000"/>
                <w:sz w:val="24"/>
                <w:u w:val="single"/>
              </w:rPr>
              <w:t xml:space="preserve">  </w:t>
            </w:r>
          </w:p>
        </w:tc>
      </w:tr>
    </w:tbl>
    <w:p w14:paraId="031BA81E">
      <w:pPr>
        <w:spacing w:line="360" w:lineRule="auto"/>
        <w:rPr>
          <w:rFonts w:hint="eastAsia" w:ascii="宋体" w:hAnsi="宋体"/>
          <w:b/>
          <w:color w:val="000000"/>
          <w:sz w:val="24"/>
        </w:rPr>
      </w:pPr>
      <w:r>
        <w:rPr>
          <w:rFonts w:hint="eastAsia" w:ascii="宋体" w:hAnsi="宋体"/>
          <w:b/>
          <w:color w:val="000000"/>
          <w:sz w:val="24"/>
        </w:rPr>
        <w:t>三、参加调研供应商资质要求</w:t>
      </w:r>
    </w:p>
    <w:p w14:paraId="570D3D4C">
      <w:pPr>
        <w:spacing w:line="360" w:lineRule="auto"/>
        <w:ind w:firstLine="480" w:firstLineChars="200"/>
        <w:rPr>
          <w:rFonts w:hint="eastAsia" w:ascii="宋体" w:hAnsi="宋体"/>
          <w:color w:val="000000"/>
          <w:sz w:val="24"/>
        </w:rPr>
      </w:pPr>
      <w:r>
        <w:rPr>
          <w:rFonts w:hint="eastAsia" w:ascii="宋体" w:hAnsi="宋体"/>
          <w:color w:val="000000"/>
          <w:sz w:val="24"/>
        </w:rPr>
        <w:t>1、满足《中华人民共和国政府采购法》第二十二条规定，并提供下列材料：</w:t>
      </w:r>
    </w:p>
    <w:p w14:paraId="31F56182">
      <w:pPr>
        <w:spacing w:line="360" w:lineRule="auto"/>
        <w:ind w:firstLine="480" w:firstLineChars="200"/>
        <w:rPr>
          <w:rFonts w:hint="eastAsia" w:ascii="宋体" w:hAnsi="宋体"/>
          <w:color w:val="000000"/>
          <w:sz w:val="24"/>
        </w:rPr>
      </w:pPr>
      <w:r>
        <w:rPr>
          <w:rFonts w:hint="eastAsia" w:ascii="宋体" w:hAnsi="宋体"/>
          <w:color w:val="FF0000"/>
          <w:sz w:val="24"/>
        </w:rPr>
        <w:t>1）具有独立承担民事责任的能力（提供有效经营期内法人营业执照复印件加盖公章）；</w:t>
      </w:r>
    </w:p>
    <w:p w14:paraId="2DAA7AFD">
      <w:pPr>
        <w:spacing w:line="360" w:lineRule="auto"/>
        <w:ind w:firstLine="480" w:firstLineChars="200"/>
        <w:rPr>
          <w:rFonts w:hint="eastAsia" w:ascii="宋体" w:hAnsi="宋体"/>
          <w:color w:val="000000"/>
          <w:sz w:val="24"/>
        </w:rPr>
      </w:pPr>
      <w:r>
        <w:rPr>
          <w:rFonts w:hint="eastAsia" w:ascii="宋体" w:hAnsi="宋体"/>
          <w:color w:val="000000"/>
          <w:sz w:val="24"/>
        </w:rPr>
        <w:t>2）具有良好的商业信誉（供应商未被列入失信被执行人、重大税收违法案件当事人名单、政府采购严重违法失信行为记录名单（查询渠道“信用中国”网（</w:t>
      </w:r>
      <w:r>
        <w:fldChar w:fldCharType="begin"/>
      </w:r>
      <w:r>
        <w:instrText xml:space="preserve"> HYPERLINK "http://www.creditchina.gov.cn" </w:instrText>
      </w:r>
      <w: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fldChar w:fldCharType="begin"/>
      </w:r>
      <w:r>
        <w:instrText xml:space="preserve"> HYPERLINK </w:instrText>
      </w:r>
      <w: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003D0FAF">
      <w:pPr>
        <w:spacing w:line="360" w:lineRule="auto"/>
        <w:ind w:firstLine="480" w:firstLineChars="200"/>
        <w:rPr>
          <w:rFonts w:hint="eastAsia" w:ascii="宋体" w:hAnsi="宋体"/>
          <w:color w:val="000000"/>
          <w:sz w:val="24"/>
        </w:rPr>
      </w:pPr>
      <w:r>
        <w:rPr>
          <w:rFonts w:hint="eastAsia" w:ascii="宋体" w:hAnsi="宋体"/>
          <w:color w:val="000000"/>
          <w:sz w:val="24"/>
        </w:rPr>
        <w:t>3）具有履行合同所必需的设备和专业技术能力</w:t>
      </w:r>
      <w:r>
        <w:rPr>
          <w:rFonts w:hint="eastAsia" w:ascii="宋体" w:hAnsi="宋体"/>
          <w:color w:val="FF0000"/>
          <w:sz w:val="24"/>
        </w:rPr>
        <w:t>(提供书面申明）</w:t>
      </w:r>
      <w:r>
        <w:rPr>
          <w:rFonts w:hint="eastAsia" w:ascii="宋体" w:hAnsi="宋体"/>
          <w:color w:val="000000"/>
          <w:sz w:val="24"/>
        </w:rPr>
        <w:t>；</w:t>
      </w:r>
    </w:p>
    <w:p w14:paraId="418F62E6">
      <w:pPr>
        <w:spacing w:line="360" w:lineRule="auto"/>
        <w:ind w:firstLine="480" w:firstLineChars="200"/>
        <w:rPr>
          <w:rFonts w:ascii="宋体" w:hAnsi="宋体"/>
          <w:color w:val="000000"/>
          <w:sz w:val="24"/>
        </w:rPr>
      </w:pPr>
      <w:r>
        <w:rPr>
          <w:rFonts w:hint="eastAsia" w:ascii="宋体" w:hAnsi="宋体"/>
          <w:color w:val="000000"/>
          <w:sz w:val="24"/>
        </w:rPr>
        <w:t>4）法律、行政法规规定的其他条件；</w:t>
      </w:r>
    </w:p>
    <w:p w14:paraId="34D1DF7C">
      <w:pPr>
        <w:spacing w:line="360" w:lineRule="auto"/>
        <w:ind w:firstLine="480" w:firstLineChars="200"/>
        <w:rPr>
          <w:rFonts w:hint="eastAsia" w:ascii="宋体" w:hAnsi="宋体"/>
          <w:color w:val="000000"/>
          <w:sz w:val="24"/>
        </w:rPr>
      </w:pPr>
      <w:r>
        <w:rPr>
          <w:rFonts w:hint="eastAsia" w:ascii="宋体" w:hAnsi="宋体"/>
          <w:color w:val="000000"/>
          <w:sz w:val="24"/>
        </w:rPr>
        <w:t>2、本项目的特定资格要求:</w:t>
      </w:r>
    </w:p>
    <w:p w14:paraId="7277564F">
      <w:pPr>
        <w:spacing w:line="360" w:lineRule="auto"/>
        <w:ind w:firstLine="480" w:firstLineChars="200"/>
        <w:rPr>
          <w:rFonts w:hint="eastAsia" w:ascii="宋体" w:hAnsi="宋体"/>
          <w:color w:val="000000"/>
          <w:sz w:val="24"/>
        </w:rPr>
      </w:pPr>
      <w:r>
        <w:rPr>
          <w:rFonts w:hint="eastAsia" w:ascii="宋体" w:hAnsi="宋体"/>
          <w:color w:val="000000"/>
          <w:sz w:val="24"/>
        </w:rPr>
        <w:t>如根据国家相关政策规定，属于医疗器械监督管理的设备，需具备以下特定资格:</w:t>
      </w:r>
    </w:p>
    <w:p w14:paraId="673712BA">
      <w:pPr>
        <w:spacing w:line="360" w:lineRule="auto"/>
        <w:ind w:firstLine="480" w:firstLineChars="200"/>
        <w:rPr>
          <w:rFonts w:hint="eastAsia" w:ascii="宋体" w:hAnsi="宋体"/>
          <w:color w:val="000000"/>
          <w:sz w:val="24"/>
        </w:rPr>
      </w:pPr>
      <w:r>
        <w:rPr>
          <w:rFonts w:hint="eastAsia" w:ascii="宋体" w:hAnsi="宋体"/>
          <w:color w:val="000000"/>
          <w:sz w:val="24"/>
        </w:rPr>
        <w:t>1)参加调研供应商须提供有效的医疗器械产品注册证或产品备案凭证，参加调研时需提供复印件加盖公章；</w:t>
      </w:r>
    </w:p>
    <w:p w14:paraId="46D6577D">
      <w:pPr>
        <w:spacing w:line="360" w:lineRule="auto"/>
        <w:ind w:firstLine="480" w:firstLineChars="200"/>
        <w:rPr>
          <w:rFonts w:hint="eastAsia" w:ascii="宋体" w:hAnsi="宋体"/>
          <w:color w:val="000000"/>
          <w:sz w:val="24"/>
        </w:rPr>
      </w:pPr>
      <w:r>
        <w:rPr>
          <w:rFonts w:hint="eastAsia" w:ascii="宋体" w:hAnsi="宋体"/>
          <w:color w:val="000000"/>
          <w:sz w:val="24"/>
        </w:rPr>
        <w:t>2)若参加调研供应商为代理商，须具有药监部门颁发的《医疗器械经营许可证》或医疗器械经营备案凭证，参加调研时需提供复印件加盖公章；</w:t>
      </w:r>
    </w:p>
    <w:p w14:paraId="27E74229">
      <w:pPr>
        <w:spacing w:line="360" w:lineRule="auto"/>
        <w:ind w:firstLine="480" w:firstLineChars="200"/>
        <w:rPr>
          <w:rFonts w:hint="eastAsia" w:ascii="宋体" w:hAnsi="宋体"/>
          <w:color w:val="000000"/>
          <w:sz w:val="24"/>
        </w:rPr>
      </w:pPr>
      <w:r>
        <w:rPr>
          <w:rFonts w:hint="eastAsia" w:ascii="宋体" w:hAnsi="宋体"/>
          <w:color w:val="000000"/>
          <w:sz w:val="24"/>
        </w:rPr>
        <w:t>3)若参加调研供应商为生产商，须具有药监局颁发的《医疗器械生产许可证》或生产备案凭证(医疗器械生产许可证如有医疗器械生产产品登记表的须一并提供)，参加调研时需提供复印件加盖公章；</w:t>
      </w:r>
    </w:p>
    <w:p w14:paraId="6DE1DA03">
      <w:pPr>
        <w:spacing w:line="360" w:lineRule="auto"/>
        <w:ind w:firstLine="480" w:firstLineChars="200"/>
        <w:rPr>
          <w:color w:val="000000"/>
          <w:sz w:val="24"/>
        </w:rPr>
      </w:pPr>
      <w:r>
        <w:rPr>
          <w:rFonts w:hint="eastAsia" w:ascii="宋体" w:hAnsi="宋体"/>
          <w:color w:val="000000"/>
          <w:sz w:val="24"/>
        </w:rPr>
        <w:t>4)</w:t>
      </w:r>
      <w:r>
        <w:rPr>
          <w:color w:val="000000"/>
          <w:sz w:val="24"/>
        </w:rPr>
        <w:t>代理商做为</w:t>
      </w:r>
      <w:r>
        <w:rPr>
          <w:rFonts w:hint="eastAsia" w:ascii="宋体" w:hAnsi="宋体"/>
          <w:color w:val="000000"/>
          <w:sz w:val="24"/>
        </w:rPr>
        <w:t>参加调研供应商参加调研</w:t>
      </w:r>
      <w:r>
        <w:rPr>
          <w:rFonts w:hint="eastAsia"/>
          <w:color w:val="000000"/>
          <w:sz w:val="24"/>
        </w:rPr>
        <w:t>的须提供</w:t>
      </w:r>
      <w:r>
        <w:rPr>
          <w:color w:val="000000"/>
          <w:sz w:val="24"/>
        </w:rPr>
        <w:t>设备制造商提供的授权书</w:t>
      </w:r>
      <w:r>
        <w:rPr>
          <w:rFonts w:hint="eastAsia"/>
          <w:color w:val="000000"/>
          <w:sz w:val="24"/>
        </w:rPr>
        <w:t>，非进口设备</w:t>
      </w:r>
      <w:r>
        <w:rPr>
          <w:rFonts w:hint="eastAsia" w:ascii="宋体" w:hAnsi="宋体"/>
          <w:color w:val="000000"/>
          <w:sz w:val="24"/>
        </w:rPr>
        <w:t>参加调研供应商</w:t>
      </w:r>
      <w:r>
        <w:rPr>
          <w:rFonts w:hint="eastAsia"/>
          <w:color w:val="000000"/>
          <w:sz w:val="24"/>
        </w:rPr>
        <w:t>须承诺外送招标前提供生产企业针对本项目的授权书及售后服务承诺书</w:t>
      </w:r>
      <w:r>
        <w:rPr>
          <w:color w:val="000000"/>
          <w:sz w:val="24"/>
        </w:rPr>
        <w:t>；</w:t>
      </w:r>
    </w:p>
    <w:p w14:paraId="0C758AFF">
      <w:pPr>
        <w:spacing w:line="360" w:lineRule="auto"/>
        <w:ind w:firstLine="480" w:firstLineChars="200"/>
        <w:rPr>
          <w:rFonts w:hint="eastAsia" w:ascii="宋体" w:hAnsi="宋体"/>
          <w:color w:val="000000"/>
          <w:sz w:val="24"/>
        </w:rPr>
      </w:pPr>
      <w:r>
        <w:rPr>
          <w:rFonts w:hint="eastAsia" w:ascii="宋体" w:hAnsi="宋体"/>
          <w:color w:val="000000"/>
          <w:sz w:val="24"/>
        </w:rPr>
        <w:t>参加调研供应商属于下列情形之一的，不得参与本项目调研活动：</w:t>
      </w:r>
    </w:p>
    <w:p w14:paraId="14620D50">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1）单位负责人为同一人或者存在直接控股、管理关系的不同供应商，不得参加同一合同项下的调研活动；</w:t>
      </w:r>
    </w:p>
    <w:p w14:paraId="10A58424">
      <w:pPr>
        <w:spacing w:line="360" w:lineRule="auto"/>
        <w:ind w:firstLine="480" w:firstLineChars="200"/>
        <w:rPr>
          <w:rFonts w:hint="eastAsia" w:ascii="宋体" w:hAnsi="宋体"/>
          <w:color w:val="000000"/>
          <w:sz w:val="24"/>
        </w:rPr>
      </w:pPr>
      <w:r>
        <w:rPr>
          <w:rFonts w:hint="eastAsia" w:ascii="宋体" w:hAnsi="宋体"/>
          <w:color w:val="000000"/>
          <w:sz w:val="24"/>
        </w:rPr>
        <w:t>2）除单一来源调研项目外，为调研项目提供整体设计、规范编制或者项目管理、监理、检测等服务的供应商，不得再参加该调研项目的其他调研活动；</w:t>
      </w:r>
    </w:p>
    <w:p w14:paraId="38CB16E5">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623A2369">
      <w:pPr>
        <w:spacing w:line="360" w:lineRule="auto"/>
        <w:ind w:firstLine="480" w:firstLineChars="200"/>
        <w:rPr>
          <w:rFonts w:ascii="宋体" w:hAnsi="宋体"/>
          <w:b/>
          <w:color w:val="000000"/>
          <w:sz w:val="24"/>
        </w:rPr>
      </w:pPr>
      <w:r>
        <w:rPr>
          <w:rFonts w:hint="eastAsia" w:ascii="宋体" w:hAnsi="宋体"/>
          <w:color w:val="000000"/>
          <w:sz w:val="24"/>
        </w:rPr>
        <w:t>参加调研供应商</w:t>
      </w:r>
      <w:r>
        <w:rPr>
          <w:color w:val="000000"/>
          <w:sz w:val="24"/>
        </w:rPr>
        <w:t>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fldChar w:fldCharType="begin"/>
      </w:r>
      <w:r>
        <w:instrText xml:space="preserve"> HYPERLINK "http://www.creditchina.gov.cn" </w:instrText>
      </w:r>
      <w: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fldChar w:fldCharType="begin"/>
      </w:r>
      <w:r>
        <w:instrText xml:space="preserve"> HYPERLINK </w:instrText>
      </w:r>
      <w: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r>
        <w:rPr>
          <w:rFonts w:hint="eastAsia"/>
          <w:color w:val="000000"/>
          <w:sz w:val="24"/>
        </w:rPr>
        <w:t>、</w:t>
      </w:r>
      <w:r>
        <w:rPr>
          <w:rFonts w:hint="eastAsia" w:ascii="宋体" w:hAnsi="宋体"/>
          <w:color w:val="000000"/>
          <w:sz w:val="24"/>
        </w:rPr>
        <w:t>上一年度的</w:t>
      </w:r>
      <w:r>
        <w:rPr>
          <w:rFonts w:ascii="宋体" w:hAnsi="宋体"/>
          <w:color w:val="000000"/>
          <w:sz w:val="24"/>
        </w:rPr>
        <w:t>财务状况报告</w:t>
      </w:r>
      <w:r>
        <w:rPr>
          <w:rFonts w:hint="eastAsia" w:ascii="宋体" w:hAnsi="宋体"/>
          <w:color w:val="000000"/>
          <w:sz w:val="24"/>
        </w:rPr>
        <w:t>（成立不满一年不需提供）、</w:t>
      </w:r>
      <w:r>
        <w:rPr>
          <w:rFonts w:hint="eastAsia" w:ascii="宋体" w:hAnsi="宋体" w:cs="Arial"/>
          <w:color w:val="000000"/>
          <w:sz w:val="24"/>
        </w:rPr>
        <w:t>参加本次活动前六个月内（至少一个月），</w:t>
      </w:r>
      <w:r>
        <w:rPr>
          <w:rFonts w:ascii="宋体" w:hAnsi="宋体" w:cs="Arial"/>
          <w:color w:val="000000"/>
          <w:sz w:val="24"/>
        </w:rPr>
        <w:t>依法缴纳税收和社会保障资金的相关材料</w:t>
      </w:r>
      <w:r>
        <w:rPr>
          <w:rFonts w:hint="eastAsia" w:ascii="宋体" w:hAnsi="宋体"/>
          <w:color w:val="000000"/>
          <w:sz w:val="24"/>
        </w:rPr>
        <w:t>。</w:t>
      </w:r>
    </w:p>
    <w:p w14:paraId="6B6D5346">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5C20A65B">
      <w:pPr>
        <w:spacing w:line="360" w:lineRule="auto"/>
        <w:ind w:firstLine="480"/>
        <w:rPr>
          <w:rFonts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报名地点：江苏省中医院设备处（南京市汉中路155号5号楼</w:t>
      </w:r>
      <w:r>
        <w:rPr>
          <w:rFonts w:hint="eastAsia" w:ascii="宋体" w:hAnsi="宋体"/>
          <w:color w:val="FF0000"/>
          <w:sz w:val="24"/>
        </w:rPr>
        <w:t>411</w:t>
      </w:r>
      <w:r>
        <w:rPr>
          <w:rFonts w:hint="eastAsia" w:ascii="宋体" w:hAnsi="宋体"/>
          <w:color w:val="000000"/>
          <w:sz w:val="24"/>
        </w:rPr>
        <w:t>室）。</w:t>
      </w:r>
    </w:p>
    <w:p w14:paraId="6B9AC9B2">
      <w:pPr>
        <w:spacing w:line="360" w:lineRule="auto"/>
        <w:rPr>
          <w:rFonts w:ascii="微软雅黑" w:hAnsi="微软雅黑" w:cs="宋体"/>
          <w:b/>
          <w:bCs/>
          <w:color w:val="000000"/>
          <w:kern w:val="0"/>
          <w:sz w:val="24"/>
        </w:rPr>
      </w:pPr>
      <w:r>
        <w:rPr>
          <w:rFonts w:hint="eastAsia" w:ascii="微软雅黑" w:hAnsi="微软雅黑" w:cs="宋体"/>
          <w:b/>
          <w:bCs/>
          <w:color w:val="000000"/>
          <w:kern w:val="0"/>
          <w:sz w:val="24"/>
        </w:rPr>
        <w:t>六、调研文件的获取：</w:t>
      </w:r>
    </w:p>
    <w:p w14:paraId="2C38AD4C">
      <w:pPr>
        <w:spacing w:line="360" w:lineRule="auto"/>
        <w:ind w:firstLine="480"/>
        <w:rPr>
          <w:rFonts w:ascii="微软雅黑" w:hAnsi="微软雅黑" w:cs="宋体"/>
          <w:bCs/>
          <w:color w:val="000000"/>
          <w:kern w:val="0"/>
          <w:sz w:val="24"/>
        </w:rPr>
      </w:pPr>
      <w:r>
        <w:rPr>
          <w:rFonts w:hint="eastAsia" w:ascii="微软雅黑" w:hAnsi="微软雅黑" w:cs="宋体"/>
          <w:bCs/>
          <w:color w:val="000000"/>
          <w:kern w:val="0"/>
          <w:sz w:val="24"/>
        </w:rPr>
        <w:t>报名审核通过以后，现场获取。</w:t>
      </w:r>
    </w:p>
    <w:p w14:paraId="155D0B5D">
      <w:pPr>
        <w:spacing w:line="360" w:lineRule="auto"/>
        <w:rPr>
          <w:rFonts w:ascii="宋体" w:hAnsi="宋体"/>
          <w:b/>
          <w:color w:val="000000"/>
          <w:sz w:val="24"/>
        </w:rPr>
      </w:pPr>
      <w:r>
        <w:rPr>
          <w:rFonts w:hint="eastAsia" w:ascii="宋体" w:hAnsi="宋体"/>
          <w:b/>
          <w:color w:val="000000"/>
          <w:sz w:val="24"/>
        </w:rPr>
        <w:t>七、调研响应文件接收信息：</w:t>
      </w:r>
    </w:p>
    <w:p w14:paraId="2D899E97">
      <w:pPr>
        <w:spacing w:line="360" w:lineRule="auto"/>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、调研响应文件接收地点：江苏省中医院设备处（南京市汉中路155号5号楼</w:t>
      </w:r>
      <w:r>
        <w:rPr>
          <w:rFonts w:hint="eastAsia" w:ascii="宋体" w:hAnsi="宋体"/>
          <w:color w:val="FF0000"/>
          <w:sz w:val="24"/>
        </w:rPr>
        <w:t>411</w:t>
      </w:r>
      <w:r>
        <w:rPr>
          <w:rFonts w:hint="eastAsia" w:ascii="宋体" w:hAnsi="宋体"/>
          <w:color w:val="000000"/>
          <w:sz w:val="24"/>
        </w:rPr>
        <w:t>室）。</w:t>
      </w:r>
    </w:p>
    <w:p w14:paraId="1395DC5A">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、请参加调研供应商报名后及时按照调研文件要求提前做好调研响应文件，调研具体时间以电话或短信通知为准。如未收到电话或短信通知请及时与我们联系，如因电话或短信漏接造成的后果由供应商自行承担。</w:t>
      </w:r>
    </w:p>
    <w:p w14:paraId="773325D5">
      <w:pPr>
        <w:spacing w:line="360" w:lineRule="auto"/>
        <w:ind w:firstLine="480" w:firstLineChars="200"/>
        <w:rPr>
          <w:rFonts w:hint="eastAsia" w:ascii="宋体" w:hAnsi="宋体"/>
          <w:color w:val="000000"/>
          <w:sz w:val="24"/>
        </w:rPr>
      </w:pPr>
      <w:r>
        <w:rPr>
          <w:rFonts w:hint="eastAsia" w:ascii="宋体" w:hAnsi="宋体"/>
          <w:sz w:val="24"/>
        </w:rPr>
        <w:t>3、根据国家相关政策规定，属于医疗器械监督管理的设备，递交</w:t>
      </w:r>
      <w:r>
        <w:rPr>
          <w:rFonts w:hint="eastAsia" w:ascii="宋体" w:hAnsi="宋体"/>
          <w:color w:val="000000"/>
          <w:sz w:val="24"/>
        </w:rPr>
        <w:t>调研响应文件时须另外携带医疗器械产品注册证或产品备案凭证、医疗器械经营许可证或医疗器械经营备案凭证复印件并加盖公章。</w:t>
      </w:r>
    </w:p>
    <w:p w14:paraId="003F64FA">
      <w:pPr>
        <w:spacing w:line="360" w:lineRule="auto"/>
        <w:ind w:firstLine="480" w:firstLineChars="200"/>
        <w:rPr>
          <w:rFonts w:hint="eastAsia" w:ascii="宋体" w:hAnsi="宋体"/>
          <w:color w:val="000000"/>
          <w:sz w:val="24"/>
        </w:rPr>
      </w:pPr>
      <w:r>
        <w:rPr>
          <w:rFonts w:hint="eastAsia" w:ascii="宋体" w:hAnsi="宋体"/>
          <w:color w:val="000000"/>
          <w:sz w:val="24"/>
        </w:rPr>
        <w:t>4、代理商作为参加调研供应商参加调研的须提供设备制造商提供的授权书（指进口设备），非进口设备参加调研供应商须承诺外送招标前提供生产企业针对本项目的授权书及售后服务承诺书等复印件并加盖公章。</w:t>
      </w:r>
    </w:p>
    <w:p w14:paraId="1B118365">
      <w:pPr>
        <w:spacing w:line="360" w:lineRule="auto"/>
        <w:ind w:firstLine="480" w:firstLineChars="200"/>
        <w:jc w:val="left"/>
        <w:rPr>
          <w:rFonts w:hint="eastAsia" w:ascii="宋体" w:hAnsi="宋体" w:cs="宋体"/>
          <w:color w:val="000000"/>
          <w:kern w:val="0"/>
          <w:sz w:val="24"/>
          <w:shd w:val="clear" w:color="auto" w:fill="FFFFFF"/>
        </w:rPr>
      </w:pPr>
      <w:r>
        <w:rPr>
          <w:rFonts w:ascii="宋体" w:hAnsi="宋体"/>
          <w:color w:val="000000"/>
          <w:sz w:val="24"/>
        </w:rPr>
        <w:t>5</w:t>
      </w:r>
      <w:r>
        <w:rPr>
          <w:rFonts w:hint="eastAsia" w:ascii="宋体" w:hAnsi="宋体"/>
          <w:color w:val="000000"/>
          <w:sz w:val="24"/>
        </w:rPr>
        <w:t>、调研响应文件接收截止时间为调研会开始时间，</w:t>
      </w:r>
      <w:r>
        <w:rPr>
          <w:rFonts w:hint="eastAsia" w:ascii="宋体" w:hAnsi="宋体" w:cs="宋体"/>
          <w:color w:val="000000"/>
          <w:kern w:val="0"/>
          <w:sz w:val="24"/>
          <w:shd w:val="clear" w:color="auto" w:fill="FFFFFF"/>
        </w:rPr>
        <w:t>其后所递交的调研响应文件恕不接受。</w:t>
      </w:r>
    </w:p>
    <w:p w14:paraId="09EA727E">
      <w:pPr>
        <w:spacing w:line="360" w:lineRule="auto"/>
        <w:rPr>
          <w:rFonts w:hint="eastAsia" w:ascii="宋体" w:hAnsi="宋体"/>
          <w:b/>
          <w:color w:val="000000"/>
          <w:sz w:val="24"/>
        </w:rPr>
      </w:pPr>
      <w:r>
        <w:rPr>
          <w:rFonts w:hint="eastAsia" w:ascii="宋体" w:hAnsi="宋体"/>
          <w:b/>
          <w:color w:val="000000"/>
          <w:sz w:val="24"/>
        </w:rPr>
        <w:t>八、联系事项：</w:t>
      </w:r>
    </w:p>
    <w:p w14:paraId="02370180">
      <w:pPr>
        <w:spacing w:line="360" w:lineRule="auto"/>
        <w:ind w:firstLine="480" w:firstLineChars="200"/>
        <w:rPr>
          <w:rFonts w:ascii="宋体" w:hAnsi="宋体"/>
          <w:color w:val="000000"/>
          <w:sz w:val="24"/>
        </w:rPr>
      </w:pPr>
      <w:r>
        <w:rPr>
          <w:rFonts w:hint="eastAsia" w:ascii="宋体" w:hAnsi="宋体"/>
          <w:color w:val="000000"/>
          <w:sz w:val="24"/>
        </w:rPr>
        <w:t>联系部门：江苏省中医院设备处</w:t>
      </w:r>
    </w:p>
    <w:p w14:paraId="1341480C">
      <w:pPr>
        <w:spacing w:line="360" w:lineRule="auto"/>
        <w:ind w:firstLine="480" w:firstLineChars="200"/>
        <w:rPr>
          <w:rFonts w:ascii="宋体" w:hAnsi="宋体"/>
          <w:color w:val="000000"/>
          <w:sz w:val="24"/>
        </w:rPr>
      </w:pPr>
      <w:r>
        <w:rPr>
          <w:rFonts w:hint="eastAsia" w:ascii="宋体" w:hAnsi="宋体"/>
          <w:color w:val="000000"/>
          <w:sz w:val="24"/>
        </w:rPr>
        <w:t>联系人：</w:t>
      </w:r>
      <w:r>
        <w:rPr>
          <w:rFonts w:hint="eastAsia" w:ascii="宋体" w:hAnsi="宋体"/>
          <w:color w:val="FF0000"/>
          <w:sz w:val="24"/>
          <w:u w:val="single"/>
        </w:rPr>
        <w:t>肖</w:t>
      </w:r>
      <w:r>
        <w:rPr>
          <w:rFonts w:hint="eastAsia" w:ascii="宋体" w:hAnsi="宋体"/>
          <w:color w:val="000000"/>
          <w:sz w:val="24"/>
        </w:rPr>
        <w:t>老师</w:t>
      </w:r>
    </w:p>
    <w:p w14:paraId="4A759ED9">
      <w:pPr>
        <w:spacing w:line="360" w:lineRule="auto"/>
        <w:ind w:firstLine="480" w:firstLineChars="200"/>
        <w:rPr>
          <w:rFonts w:hint="eastAsia" w:ascii="宋体" w:hAnsi="宋体"/>
          <w:color w:val="000000"/>
          <w:sz w:val="24"/>
        </w:rPr>
      </w:pPr>
      <w:r>
        <w:rPr>
          <w:rFonts w:hint="eastAsia" w:ascii="宋体" w:hAnsi="宋体"/>
          <w:color w:val="000000"/>
          <w:sz w:val="24"/>
        </w:rPr>
        <w:t>联系地址：江苏省中医院设备处（南京市汉中路155号5号楼</w:t>
      </w:r>
      <w:r>
        <w:rPr>
          <w:rFonts w:hint="eastAsia" w:ascii="宋体" w:hAnsi="宋体"/>
          <w:color w:val="FF0000"/>
          <w:sz w:val="24"/>
        </w:rPr>
        <w:t>411</w:t>
      </w:r>
      <w:r>
        <w:rPr>
          <w:rFonts w:hint="eastAsia" w:ascii="宋体" w:hAnsi="宋体"/>
          <w:color w:val="000000"/>
          <w:sz w:val="24"/>
        </w:rPr>
        <w:t>室）。</w:t>
      </w:r>
    </w:p>
    <w:p w14:paraId="1D5BB4F0">
      <w:pPr>
        <w:spacing w:line="360" w:lineRule="auto"/>
        <w:ind w:firstLine="480" w:firstLineChars="200"/>
        <w:rPr>
          <w:rFonts w:ascii="宋体" w:hAnsi="宋体"/>
          <w:color w:val="000000"/>
          <w:sz w:val="24"/>
        </w:rPr>
      </w:pPr>
      <w:r>
        <w:rPr>
          <w:rFonts w:hint="eastAsia" w:ascii="宋体" w:hAnsi="宋体"/>
          <w:color w:val="000000"/>
          <w:sz w:val="24"/>
        </w:rPr>
        <w:t>联系方式 ：025-86617141-</w:t>
      </w:r>
      <w:r>
        <w:rPr>
          <w:rFonts w:hint="eastAsia" w:ascii="宋体" w:hAnsi="宋体"/>
          <w:color w:val="FF0000"/>
          <w:sz w:val="24"/>
        </w:rPr>
        <w:t>50411</w:t>
      </w:r>
      <w:r>
        <w:rPr>
          <w:rFonts w:hint="eastAsia" w:ascii="宋体" w:hAnsi="宋体"/>
          <w:color w:val="000000"/>
          <w:sz w:val="24"/>
        </w:rPr>
        <w:t>。</w:t>
      </w:r>
    </w:p>
    <w:p w14:paraId="10843910">
      <w:pPr>
        <w:spacing w:line="360" w:lineRule="auto"/>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EAB2269"/>
    <w:multiLevelType w:val="multilevel"/>
    <w:tmpl w:val="5EAB2269"/>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95D46"/>
    <w:rsid w:val="000C271F"/>
    <w:rsid w:val="00180ED8"/>
    <w:rsid w:val="001A4732"/>
    <w:rsid w:val="00205CCB"/>
    <w:rsid w:val="00260650"/>
    <w:rsid w:val="00294005"/>
    <w:rsid w:val="0031079E"/>
    <w:rsid w:val="003D55BB"/>
    <w:rsid w:val="00412AFD"/>
    <w:rsid w:val="00417104"/>
    <w:rsid w:val="00455364"/>
    <w:rsid w:val="004B1FD4"/>
    <w:rsid w:val="0050510D"/>
    <w:rsid w:val="00513C0D"/>
    <w:rsid w:val="005A450E"/>
    <w:rsid w:val="00651A5A"/>
    <w:rsid w:val="00657B35"/>
    <w:rsid w:val="00676D63"/>
    <w:rsid w:val="00715329"/>
    <w:rsid w:val="00795BEA"/>
    <w:rsid w:val="007B32DA"/>
    <w:rsid w:val="007C4CE2"/>
    <w:rsid w:val="00814176"/>
    <w:rsid w:val="00854D01"/>
    <w:rsid w:val="00867579"/>
    <w:rsid w:val="008B1BE3"/>
    <w:rsid w:val="008F2330"/>
    <w:rsid w:val="009210F6"/>
    <w:rsid w:val="00935D72"/>
    <w:rsid w:val="00996244"/>
    <w:rsid w:val="009B5EBA"/>
    <w:rsid w:val="00A13ADD"/>
    <w:rsid w:val="00A56EA1"/>
    <w:rsid w:val="00A613F9"/>
    <w:rsid w:val="00A84DD3"/>
    <w:rsid w:val="00B17274"/>
    <w:rsid w:val="00BC32DA"/>
    <w:rsid w:val="00BD0FCF"/>
    <w:rsid w:val="00CE409F"/>
    <w:rsid w:val="00CE6B32"/>
    <w:rsid w:val="00DB1F62"/>
    <w:rsid w:val="00EB3F83"/>
    <w:rsid w:val="00F30B71"/>
    <w:rsid w:val="00F33C88"/>
    <w:rsid w:val="00F86F8D"/>
    <w:rsid w:val="00FC4B76"/>
    <w:rsid w:val="3AA137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3"/>
    <w:qFormat/>
    <w:uiPriority w:val="9"/>
    <w:pPr>
      <w:keepNext/>
      <w:keepLines/>
      <w:spacing w:before="340" w:after="330" w:line="578" w:lineRule="auto"/>
      <w:jc w:val="center"/>
      <w:outlineLvl w:val="0"/>
    </w:pPr>
    <w:rPr>
      <w:b/>
      <w:bCs/>
      <w:kern w:val="44"/>
      <w:sz w:val="52"/>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5">
    <w:name w:val="Title"/>
    <w:basedOn w:val="1"/>
    <w:next w:val="1"/>
    <w:link w:val="12"/>
    <w:qFormat/>
    <w:uiPriority w:val="0"/>
    <w:pPr>
      <w:jc w:val="center"/>
      <w:outlineLvl w:val="2"/>
    </w:pPr>
    <w:rPr>
      <w:rFonts w:ascii="宋体" w:hAnsi="宋体"/>
      <w:b/>
      <w:bCs/>
      <w:kern w:val="0"/>
      <w:sz w:val="36"/>
      <w:szCs w:val="32"/>
    </w:rPr>
  </w:style>
  <w:style w:type="character" w:styleId="8">
    <w:name w:val="Hyperlink"/>
    <w:semiHidden/>
    <w:unhideWhenUsed/>
    <w:qFormat/>
    <w:uiPriority w:val="99"/>
    <w:rPr>
      <w:color w:val="0000FF"/>
      <w:u w:val="single"/>
    </w:rPr>
  </w:style>
  <w:style w:type="character" w:customStyle="1" w:styleId="9">
    <w:name w:val="页眉 字符"/>
    <w:basedOn w:val="7"/>
    <w:link w:val="4"/>
    <w:qFormat/>
    <w:uiPriority w:val="99"/>
    <w:rPr>
      <w:sz w:val="18"/>
      <w:szCs w:val="18"/>
    </w:rPr>
  </w:style>
  <w:style w:type="character" w:customStyle="1" w:styleId="10">
    <w:name w:val="页脚 字符"/>
    <w:basedOn w:val="7"/>
    <w:link w:val="3"/>
    <w:qFormat/>
    <w:uiPriority w:val="99"/>
    <w:rPr>
      <w:sz w:val="18"/>
      <w:szCs w:val="18"/>
    </w:rPr>
  </w:style>
  <w:style w:type="character" w:customStyle="1" w:styleId="11">
    <w:name w:val="标题 字符"/>
    <w:basedOn w:val="7"/>
    <w:qFormat/>
    <w:uiPriority w:val="10"/>
    <w:rPr>
      <w:rFonts w:asciiTheme="majorHAnsi" w:hAnsiTheme="majorHAnsi" w:eastAsiaTheme="majorEastAsia" w:cstheme="majorBidi"/>
      <w:b/>
      <w:bCs/>
      <w:sz w:val="32"/>
      <w:szCs w:val="32"/>
    </w:rPr>
  </w:style>
  <w:style w:type="character" w:customStyle="1" w:styleId="12">
    <w:name w:val="标题 字符1"/>
    <w:link w:val="5"/>
    <w:qFormat/>
    <w:uiPriority w:val="0"/>
    <w:rPr>
      <w:rFonts w:ascii="宋体" w:hAnsi="宋体" w:eastAsia="宋体" w:cs="Times New Roman"/>
      <w:b/>
      <w:bCs/>
      <w:kern w:val="0"/>
      <w:sz w:val="36"/>
      <w:szCs w:val="32"/>
    </w:rPr>
  </w:style>
  <w:style w:type="character" w:customStyle="1" w:styleId="13">
    <w:name w:val="标题 1 字符"/>
    <w:basedOn w:val="7"/>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1589</Words>
  <Characters>1710</Characters>
  <Lines>13</Lines>
  <Paragraphs>3</Paragraphs>
  <TotalTime>0</TotalTime>
  <ScaleCrop>false</ScaleCrop>
  <LinksUpToDate>false</LinksUpToDate>
  <CharactersWithSpaces>1736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2026-08-05T06:30:30Z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EEC407DF684B4E729401CD797A9BAA37_12</vt:lpwstr>
  </property>
</Properties>
</file>