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5"/>
        <w:rPr>
          <w:rFonts w:hint="eastAsia"/>
          <w:szCs w:val="36"/>
        </w:rPr>
      </w:pPr>
      <w:r>
        <w:rPr>
          <w:rFonts w:hint="eastAsia"/>
          <w:szCs w:val="36"/>
        </w:rPr>
        <w:t>江苏省中医院医疗设备调研公告</w:t>
      </w:r>
    </w:p>
    <w:p w14:paraId="69CA7DBD">
      <w:pPr>
        <w:spacing w:line="360" w:lineRule="auto"/>
        <w:ind w:firstLine="420"/>
        <w:rPr>
          <w:rFonts w:ascii="宋体" w:hAnsi="宋体"/>
          <w:color w:val="000000"/>
          <w:sz w:val="24"/>
        </w:rPr>
      </w:pPr>
      <w:r>
        <w:rPr>
          <w:rFonts w:hint="eastAsia" w:ascii="宋体" w:hAnsi="宋体"/>
          <w:color w:val="000000"/>
          <w:sz w:val="24"/>
        </w:rPr>
        <w:t>我院为保证正常的工作开展，根据《中华人民共和国财政部令第87号--政府采购货物和服务招标投标管理办法》第十条的规定，现拟对</w:t>
      </w:r>
      <w:r>
        <w:rPr>
          <w:rFonts w:hint="eastAsia" w:ascii="宋体" w:hAnsi="宋体"/>
          <w:color w:val="000000"/>
          <w:sz w:val="24"/>
          <w:u w:val="single"/>
        </w:rPr>
        <w:t>全身X射线计算机断层扫描系统</w:t>
      </w:r>
      <w:r>
        <w:rPr>
          <w:rFonts w:hint="eastAsia" w:ascii="宋体" w:hAnsi="宋体"/>
          <w:color w:val="000000"/>
          <w:sz w:val="24"/>
        </w:rPr>
        <w:t>保修项目进行院内调研。调研完成后外送招标。</w:t>
      </w:r>
    </w:p>
    <w:p w14:paraId="4E6AC602">
      <w:pPr>
        <w:spacing w:line="360" w:lineRule="auto"/>
        <w:rPr>
          <w:rFonts w:hint="default" w:ascii="宋体" w:hAnsi="宋体"/>
          <w:color w:val="000000"/>
          <w:sz w:val="24"/>
          <w:lang w:val="en-US"/>
        </w:rPr>
      </w:pPr>
      <w:r>
        <w:rPr>
          <w:rFonts w:hint="eastAsia" w:ascii="宋体" w:hAnsi="宋体"/>
          <w:b/>
          <w:color w:val="000000"/>
          <w:sz w:val="24"/>
        </w:rPr>
        <w:t>一、调研项目编号：</w:t>
      </w:r>
      <w:r>
        <w:rPr>
          <w:rFonts w:hint="eastAsia" w:ascii="宋体" w:hAnsi="宋体"/>
          <w:b/>
          <w:color w:val="auto"/>
          <w:sz w:val="24"/>
          <w:highlight w:val="none"/>
          <w:lang w:eastAsia="zh-CN"/>
        </w:rPr>
        <w:t>ygc</w:t>
      </w:r>
      <w:r>
        <w:rPr>
          <w:rFonts w:ascii="宋体" w:hAnsi="宋体"/>
          <w:b/>
          <w:color w:val="auto"/>
          <w:sz w:val="24"/>
          <w:highlight w:val="none"/>
        </w:rPr>
        <w:t>2</w:t>
      </w:r>
      <w:r>
        <w:rPr>
          <w:rFonts w:hint="eastAsia" w:ascii="宋体" w:hAnsi="宋体"/>
          <w:b/>
          <w:color w:val="auto"/>
          <w:sz w:val="24"/>
          <w:highlight w:val="none"/>
          <w:lang w:val="en-US" w:eastAsia="zh-CN"/>
        </w:rPr>
        <w:t>6</w:t>
      </w:r>
      <w:r>
        <w:rPr>
          <w:rFonts w:ascii="宋体" w:hAnsi="宋体"/>
          <w:b/>
          <w:color w:val="auto"/>
          <w:sz w:val="24"/>
          <w:highlight w:val="none"/>
        </w:rPr>
        <w:t>-</w:t>
      </w:r>
      <w:r>
        <w:rPr>
          <w:rFonts w:hint="eastAsia" w:ascii="宋体" w:hAnsi="宋体"/>
          <w:b/>
          <w:color w:val="auto"/>
          <w:sz w:val="24"/>
          <w:highlight w:val="none"/>
        </w:rPr>
        <w:t>dy</w:t>
      </w:r>
      <w:r>
        <w:rPr>
          <w:rFonts w:hint="eastAsia" w:ascii="宋体" w:hAnsi="宋体"/>
          <w:b/>
          <w:color w:val="auto"/>
          <w:sz w:val="24"/>
          <w:highlight w:val="none"/>
          <w:lang w:val="en-US" w:eastAsia="zh-CN"/>
        </w:rPr>
        <w:t>022</w:t>
      </w:r>
    </w:p>
    <w:p w14:paraId="552AAE62">
      <w:pPr>
        <w:spacing w:line="360" w:lineRule="auto"/>
        <w:rPr>
          <w:rFonts w:ascii="宋体" w:hAnsi="宋体"/>
          <w:b/>
          <w:color w:val="000000"/>
          <w:sz w:val="24"/>
        </w:rPr>
      </w:pPr>
      <w:r>
        <w:rPr>
          <w:rFonts w:hint="eastAsia" w:ascii="宋体" w:hAnsi="宋体"/>
          <w:b/>
          <w:color w:val="000000"/>
          <w:sz w:val="24"/>
        </w:rPr>
        <w:t>二、调研项目简介：</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4395"/>
        <w:gridCol w:w="1783"/>
        <w:gridCol w:w="1783"/>
      </w:tblGrid>
      <w:tr w14:paraId="0915B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891" w:type="dxa"/>
            <w:noWrap w:val="0"/>
            <w:vAlign w:val="center"/>
          </w:tcPr>
          <w:p w14:paraId="4568877E">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4395" w:type="dxa"/>
            <w:noWrap w:val="0"/>
            <w:vAlign w:val="center"/>
          </w:tcPr>
          <w:p w14:paraId="4C9B677E">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名称</w:t>
            </w:r>
          </w:p>
        </w:tc>
        <w:tc>
          <w:tcPr>
            <w:tcW w:w="1783" w:type="dxa"/>
            <w:noWrap w:val="0"/>
            <w:vAlign w:val="center"/>
          </w:tcPr>
          <w:p w14:paraId="040753DF">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数量（套/台）</w:t>
            </w:r>
          </w:p>
        </w:tc>
        <w:tc>
          <w:tcPr>
            <w:tcW w:w="1783" w:type="dxa"/>
            <w:noWrap w:val="0"/>
            <w:vAlign w:val="center"/>
          </w:tcPr>
          <w:p w14:paraId="3ED8385B">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保修年限</w:t>
            </w:r>
          </w:p>
        </w:tc>
      </w:tr>
      <w:tr w14:paraId="2ED61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91" w:type="dxa"/>
            <w:shd w:val="clear" w:color="auto" w:fill="auto"/>
            <w:noWrap w:val="0"/>
            <w:vAlign w:val="center"/>
          </w:tcPr>
          <w:p w14:paraId="278CCA1E">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4395" w:type="dxa"/>
            <w:shd w:val="clear" w:color="000000" w:fill="FFFFFF"/>
            <w:noWrap w:val="0"/>
            <w:vAlign w:val="center"/>
          </w:tcPr>
          <w:p w14:paraId="78694F19">
            <w:pPr>
              <w:spacing w:line="360" w:lineRule="auto"/>
              <w:jc w:val="center"/>
              <w:rPr>
                <w:rFonts w:ascii="宋体" w:hAnsi="宋体"/>
                <w:color w:val="000000"/>
                <w:sz w:val="24"/>
              </w:rPr>
            </w:pPr>
            <w:r>
              <w:rPr>
                <w:rFonts w:hint="eastAsia" w:ascii="宋体" w:hAnsi="宋体"/>
                <w:color w:val="000000"/>
                <w:sz w:val="24"/>
              </w:rPr>
              <w:t>全身X射线计算机断层扫描系统</w:t>
            </w:r>
          </w:p>
        </w:tc>
        <w:tc>
          <w:tcPr>
            <w:tcW w:w="1783" w:type="dxa"/>
            <w:shd w:val="clear" w:color="000000" w:fill="FFFFFF"/>
            <w:noWrap w:val="0"/>
            <w:vAlign w:val="center"/>
          </w:tcPr>
          <w:p w14:paraId="22AB1BDA">
            <w:pPr>
              <w:widowControl/>
              <w:spacing w:line="360" w:lineRule="auto"/>
              <w:jc w:val="center"/>
              <w:rPr>
                <w:rFonts w:hint="default" w:ascii="宋体" w:hAnsi="宋体" w:eastAsia="宋体"/>
                <w:color w:val="000000"/>
                <w:sz w:val="24"/>
                <w:lang w:val="en-US" w:eastAsia="zh-CN"/>
              </w:rPr>
            </w:pPr>
            <w:r>
              <w:rPr>
                <w:rFonts w:hint="eastAsia" w:ascii="宋体" w:hAnsi="宋体"/>
                <w:color w:val="000000"/>
                <w:sz w:val="24"/>
                <w:lang w:val="en-US" w:eastAsia="zh-CN"/>
              </w:rPr>
              <w:t>2</w:t>
            </w:r>
          </w:p>
        </w:tc>
        <w:tc>
          <w:tcPr>
            <w:tcW w:w="1783" w:type="dxa"/>
            <w:shd w:val="clear" w:color="000000" w:fill="FFFFFF"/>
            <w:noWrap w:val="0"/>
            <w:vAlign w:val="center"/>
          </w:tcPr>
          <w:p w14:paraId="2FA11E8A">
            <w:pPr>
              <w:widowControl/>
              <w:spacing w:line="360" w:lineRule="auto"/>
              <w:jc w:val="center"/>
              <w:rPr>
                <w:rFonts w:hint="default" w:ascii="宋体" w:hAnsi="宋体" w:eastAsia="宋体"/>
                <w:color w:val="000000"/>
                <w:sz w:val="24"/>
                <w:lang w:val="en-US" w:eastAsia="zh-CN"/>
              </w:rPr>
            </w:pPr>
            <w:r>
              <w:rPr>
                <w:rFonts w:hint="eastAsia" w:ascii="宋体" w:hAnsi="宋体"/>
                <w:color w:val="000000"/>
                <w:sz w:val="24"/>
                <w:lang w:val="en-US" w:eastAsia="zh-CN"/>
              </w:rPr>
              <w:t>3年</w:t>
            </w:r>
          </w:p>
        </w:tc>
      </w:tr>
    </w:tbl>
    <w:p w14:paraId="7C0EB2E6">
      <w:pPr>
        <w:spacing w:line="360" w:lineRule="auto"/>
        <w:rPr>
          <w:rFonts w:hint="eastAsia" w:ascii="宋体" w:hAnsi="宋体"/>
          <w:b/>
          <w:color w:val="000000"/>
          <w:sz w:val="24"/>
        </w:rPr>
      </w:pPr>
      <w:r>
        <w:rPr>
          <w:rFonts w:hint="eastAsia" w:ascii="宋体" w:hAnsi="宋体"/>
          <w:b/>
          <w:color w:val="000000"/>
          <w:sz w:val="24"/>
        </w:rPr>
        <w:t>三、参加调研供应商资质要求</w:t>
      </w:r>
    </w:p>
    <w:p w14:paraId="39CB4FEA">
      <w:pPr>
        <w:spacing w:line="360" w:lineRule="auto"/>
        <w:ind w:firstLine="480" w:firstLineChars="200"/>
        <w:rPr>
          <w:rFonts w:hint="eastAsia" w:ascii="宋体" w:hAnsi="宋体"/>
          <w:color w:val="000000"/>
          <w:sz w:val="24"/>
        </w:rPr>
      </w:pPr>
      <w:r>
        <w:rPr>
          <w:rFonts w:hint="eastAsia" w:ascii="宋体" w:hAnsi="宋体"/>
          <w:color w:val="000000"/>
          <w:sz w:val="24"/>
        </w:rPr>
        <w:t>满足《中华人民共和国政府采购法》第二十二条规定，并提供下列材料：</w:t>
      </w:r>
    </w:p>
    <w:p w14:paraId="05F2E08A">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64318E5B">
      <w:pPr>
        <w:spacing w:line="360" w:lineRule="auto"/>
        <w:ind w:firstLine="480" w:firstLineChars="200"/>
        <w:rPr>
          <w:rFonts w:hint="eastAsia" w:ascii="宋体" w:hAnsi="宋体"/>
          <w:color w:val="000000"/>
          <w:sz w:val="24"/>
        </w:rPr>
      </w:pPr>
      <w:r>
        <w:rPr>
          <w:rFonts w:hint="eastAsia" w:ascii="宋体" w:hAnsi="宋体"/>
          <w:color w:val="000000"/>
          <w:sz w:val="24"/>
        </w:rPr>
        <w:t>2、投标人须</w:t>
      </w:r>
      <w:r>
        <w:rPr>
          <w:rFonts w:hint="eastAsia" w:ascii="宋体" w:hAnsi="宋体"/>
          <w:bCs/>
          <w:color w:val="000000"/>
          <w:sz w:val="24"/>
        </w:rPr>
        <w:t>提供在有效经营期内的营业执照（复印件）；</w:t>
      </w:r>
    </w:p>
    <w:p w14:paraId="55D7E230">
      <w:pPr>
        <w:spacing w:line="360" w:lineRule="auto"/>
        <w:ind w:firstLine="480" w:firstLineChars="200"/>
        <w:rPr>
          <w:rFonts w:hint="eastAsia" w:ascii="宋体" w:hAnsi="宋体"/>
          <w:color w:val="000000"/>
          <w:sz w:val="24"/>
        </w:rPr>
      </w:pPr>
      <w:r>
        <w:rPr>
          <w:rFonts w:hint="eastAsia" w:ascii="宋体" w:hAnsi="宋体"/>
          <w:color w:val="000000"/>
          <w:sz w:val="24"/>
        </w:rPr>
        <w:t>3、具有履行合同所必需的设备保修和专业技术能力；</w:t>
      </w:r>
    </w:p>
    <w:p w14:paraId="2D6F2141">
      <w:pPr>
        <w:spacing w:line="360" w:lineRule="auto"/>
        <w:ind w:firstLine="480" w:firstLineChars="200"/>
        <w:rPr>
          <w:rFonts w:ascii="宋体" w:hAnsi="宋体"/>
          <w:color w:val="000000"/>
          <w:sz w:val="24"/>
        </w:rPr>
      </w:pPr>
      <w:r>
        <w:rPr>
          <w:rFonts w:hint="eastAsia" w:ascii="宋体" w:hAnsi="宋体"/>
          <w:color w:val="000000"/>
          <w:sz w:val="24"/>
        </w:rPr>
        <w:t>4、法律、行政法规规定的其他条件；</w:t>
      </w:r>
    </w:p>
    <w:p w14:paraId="7FA11A2E">
      <w:pPr>
        <w:spacing w:line="360" w:lineRule="auto"/>
        <w:ind w:firstLine="480" w:firstLineChars="200"/>
        <w:rPr>
          <w:rFonts w:ascii="宋体" w:hAnsi="宋体"/>
          <w:color w:val="000000"/>
          <w:sz w:val="24"/>
        </w:rPr>
      </w:pPr>
      <w:r>
        <w:rPr>
          <w:rFonts w:hint="eastAsia" w:ascii="宋体" w:hAnsi="宋体"/>
          <w:color w:val="000000"/>
          <w:sz w:val="24"/>
        </w:rPr>
        <w:t>5、上一年度的</w:t>
      </w:r>
      <w:r>
        <w:rPr>
          <w:rFonts w:ascii="宋体" w:hAnsi="宋体"/>
          <w:color w:val="000000"/>
          <w:sz w:val="24"/>
        </w:rPr>
        <w:t>财务状况报告</w:t>
      </w:r>
      <w:r>
        <w:rPr>
          <w:rFonts w:hint="eastAsia" w:ascii="宋体" w:hAnsi="宋体"/>
          <w:color w:val="000000"/>
          <w:sz w:val="24"/>
        </w:rPr>
        <w:t>（成立不满一年不需提供）；</w:t>
      </w:r>
    </w:p>
    <w:p w14:paraId="38CD1167">
      <w:pPr>
        <w:spacing w:line="360" w:lineRule="auto"/>
        <w:ind w:firstLine="480" w:firstLineChars="200"/>
        <w:rPr>
          <w:rFonts w:hint="eastAsia" w:ascii="宋体" w:hAnsi="宋体" w:cs="Arial"/>
          <w:color w:val="000000"/>
          <w:sz w:val="24"/>
        </w:rPr>
      </w:pPr>
      <w:r>
        <w:rPr>
          <w:rFonts w:hint="eastAsia" w:ascii="宋体" w:hAnsi="宋体"/>
          <w:color w:val="000000"/>
          <w:sz w:val="24"/>
        </w:rPr>
        <w:t>6、</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s="Arial"/>
          <w:color w:val="000000"/>
          <w:sz w:val="24"/>
        </w:rPr>
        <w:t>。</w:t>
      </w:r>
    </w:p>
    <w:p w14:paraId="074D54AB">
      <w:pPr>
        <w:spacing w:line="360" w:lineRule="auto"/>
        <w:ind w:firstLine="480" w:firstLineChars="200"/>
        <w:rPr>
          <w:rFonts w:hint="eastAsia" w:ascii="宋体" w:hAnsi="宋体"/>
          <w:color w:val="000000"/>
          <w:sz w:val="24"/>
        </w:rPr>
      </w:pPr>
      <w:r>
        <w:rPr>
          <w:rFonts w:hint="eastAsia" w:ascii="宋体" w:hAnsi="宋体"/>
          <w:color w:val="000000"/>
          <w:sz w:val="24"/>
        </w:rPr>
        <w:t>参加调研供应商属于下列情形之一的，不得参与本项目调研活动：</w:t>
      </w:r>
    </w:p>
    <w:p w14:paraId="78EF5507">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1、单位负责人为同一人或者存在直接控股、管理关系的不同供应商，不得参加同一合同项下的调研活动；</w:t>
      </w:r>
    </w:p>
    <w:p w14:paraId="6B2B3A2D">
      <w:pPr>
        <w:spacing w:line="360" w:lineRule="auto"/>
        <w:ind w:firstLine="480" w:firstLineChars="200"/>
        <w:rPr>
          <w:rFonts w:hint="eastAsia" w:ascii="宋体" w:hAnsi="宋体"/>
          <w:color w:val="000000"/>
          <w:sz w:val="24"/>
        </w:rPr>
      </w:pPr>
      <w:r>
        <w:rPr>
          <w:rFonts w:hint="eastAsia" w:ascii="宋体" w:hAnsi="宋体"/>
          <w:color w:val="000000"/>
          <w:sz w:val="24"/>
        </w:rPr>
        <w:t>2、除单一来源调研项目外，为调研项目提供整体设计、规范编制或者项目管理、监理、检测等服务的供应商，不得再参加该调研项目的其他调研活动；</w:t>
      </w:r>
    </w:p>
    <w:p w14:paraId="30527CE0">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12F3E563">
      <w:pPr>
        <w:spacing w:line="360" w:lineRule="auto"/>
        <w:ind w:firstLine="480" w:firstLineChars="200"/>
        <w:rPr>
          <w:rFonts w:hint="eastAsia"/>
          <w:color w:val="000000"/>
          <w:sz w:val="24"/>
        </w:rPr>
      </w:pPr>
      <w:r>
        <w:rPr>
          <w:rFonts w:hint="eastAsia" w:ascii="宋体" w:hAnsi="宋体"/>
          <w:color w:val="000000"/>
          <w:sz w:val="24"/>
        </w:rPr>
        <w:t>参加调研供应商</w:t>
      </w:r>
      <w:r>
        <w:rPr>
          <w:color w:val="000000"/>
          <w:sz w:val="24"/>
        </w:rPr>
        <w:t>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r>
        <w:rPr>
          <w:rFonts w:hint="eastAsia"/>
          <w:color w:val="000000"/>
          <w:sz w:val="24"/>
        </w:rPr>
        <w:t>；</w:t>
      </w:r>
      <w:r>
        <w:rPr>
          <w:rFonts w:hint="eastAsia" w:ascii="宋体" w:hAnsi="宋体"/>
          <w:color w:val="000000"/>
          <w:sz w:val="24"/>
        </w:rPr>
        <w:t>上一年度的</w:t>
      </w:r>
      <w:r>
        <w:rPr>
          <w:rFonts w:ascii="宋体" w:hAnsi="宋体"/>
          <w:color w:val="000000"/>
          <w:sz w:val="24"/>
        </w:rPr>
        <w:t>财务状况报告</w:t>
      </w:r>
      <w:r>
        <w:rPr>
          <w:rFonts w:hint="eastAsia" w:ascii="宋体" w:hAnsi="宋体"/>
          <w:color w:val="000000"/>
          <w:sz w:val="24"/>
        </w:rPr>
        <w:t>（成立不满一年不需提供）；</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olor w:val="000000"/>
          <w:sz w:val="24"/>
        </w:rPr>
        <w:t>。</w:t>
      </w:r>
    </w:p>
    <w:p w14:paraId="452D0F63">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506C3C61">
      <w:pPr>
        <w:spacing w:line="360" w:lineRule="auto"/>
        <w:ind w:firstLine="480"/>
        <w:rPr>
          <w:rFonts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w:t>
      </w:r>
      <w:r>
        <w:rPr>
          <w:rFonts w:hint="eastAsia" w:ascii="宋体" w:hAnsi="宋体"/>
          <w:color w:val="000000"/>
          <w:sz w:val="24"/>
          <w:lang w:eastAsia="zh-CN"/>
        </w:rPr>
        <w:t>医学工程处</w:t>
      </w:r>
      <w:r>
        <w:rPr>
          <w:rFonts w:hint="eastAsia" w:ascii="宋体" w:hAnsi="宋体"/>
          <w:color w:val="000000"/>
          <w:sz w:val="24"/>
        </w:rPr>
        <w:t>（南京市汉中路155号5号楼4</w:t>
      </w:r>
      <w:r>
        <w:rPr>
          <w:rFonts w:hint="eastAsia" w:ascii="宋体" w:hAnsi="宋体"/>
          <w:color w:val="000000"/>
          <w:sz w:val="24"/>
          <w:lang w:val="en-US" w:eastAsia="zh-CN"/>
        </w:rPr>
        <w:t>18</w:t>
      </w:r>
      <w:r>
        <w:rPr>
          <w:rFonts w:hint="eastAsia" w:ascii="宋体" w:hAnsi="宋体"/>
          <w:color w:val="000000"/>
          <w:sz w:val="24"/>
        </w:rPr>
        <w:t>室）。</w:t>
      </w:r>
    </w:p>
    <w:p w14:paraId="3255E267">
      <w:pPr>
        <w:spacing w:line="360" w:lineRule="auto"/>
        <w:rPr>
          <w:rFonts w:ascii="微软雅黑" w:hAnsi="微软雅黑" w:cs="宋体"/>
          <w:b/>
          <w:bCs/>
          <w:color w:val="000000"/>
          <w:kern w:val="0"/>
          <w:sz w:val="24"/>
        </w:rPr>
      </w:pPr>
      <w:r>
        <w:rPr>
          <w:rFonts w:hint="eastAsia" w:ascii="微软雅黑" w:hAnsi="微软雅黑" w:cs="宋体"/>
          <w:b/>
          <w:bCs/>
          <w:color w:val="000000"/>
          <w:kern w:val="0"/>
          <w:sz w:val="24"/>
        </w:rPr>
        <w:t>六、调研文件的获取：</w:t>
      </w:r>
    </w:p>
    <w:p w14:paraId="662A061F">
      <w:pPr>
        <w:spacing w:line="360" w:lineRule="auto"/>
        <w:ind w:firstLine="480"/>
        <w:rPr>
          <w:rFonts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6B43C587">
      <w:pPr>
        <w:spacing w:line="360" w:lineRule="auto"/>
        <w:rPr>
          <w:rFonts w:ascii="宋体" w:hAnsi="宋体"/>
          <w:b/>
          <w:color w:val="000000"/>
          <w:sz w:val="24"/>
        </w:rPr>
      </w:pPr>
      <w:r>
        <w:rPr>
          <w:rFonts w:hint="eastAsia" w:ascii="宋体" w:hAnsi="宋体"/>
          <w:b/>
          <w:color w:val="000000"/>
          <w:sz w:val="24"/>
        </w:rPr>
        <w:t>七、调研响应文件接收信息：</w:t>
      </w:r>
    </w:p>
    <w:p w14:paraId="36DDA3E5">
      <w:pPr>
        <w:spacing w:line="360" w:lineRule="auto"/>
        <w:ind w:firstLine="480" w:firstLineChars="200"/>
        <w:rPr>
          <w:rFonts w:ascii="宋体" w:hAnsi="宋体"/>
          <w:color w:val="000000"/>
          <w:sz w:val="24"/>
        </w:rPr>
      </w:pPr>
      <w:r>
        <w:rPr>
          <w:rFonts w:ascii="宋体" w:hAnsi="宋体"/>
          <w:color w:val="000000"/>
          <w:sz w:val="24"/>
        </w:rPr>
        <w:t>1</w:t>
      </w:r>
      <w:r>
        <w:rPr>
          <w:rFonts w:hint="eastAsia" w:ascii="宋体" w:hAnsi="宋体"/>
          <w:color w:val="000000"/>
          <w:sz w:val="24"/>
        </w:rPr>
        <w:t>.调研响应文件接收地点：江苏省中医院</w:t>
      </w:r>
      <w:r>
        <w:rPr>
          <w:rFonts w:hint="eastAsia" w:ascii="宋体" w:hAnsi="宋体"/>
          <w:color w:val="000000"/>
          <w:sz w:val="24"/>
          <w:lang w:eastAsia="zh-CN"/>
        </w:rPr>
        <w:t>医学工程处</w:t>
      </w:r>
      <w:r>
        <w:rPr>
          <w:rFonts w:hint="eastAsia" w:ascii="宋体" w:hAnsi="宋体"/>
          <w:color w:val="000000"/>
          <w:sz w:val="24"/>
        </w:rPr>
        <w:t>（南京市汉中路155号5号楼41</w:t>
      </w:r>
      <w:r>
        <w:rPr>
          <w:rFonts w:hint="eastAsia" w:ascii="宋体" w:hAnsi="宋体"/>
          <w:color w:val="000000"/>
          <w:sz w:val="24"/>
          <w:lang w:val="en-US" w:eastAsia="zh-CN"/>
        </w:rPr>
        <w:t>8</w:t>
      </w:r>
      <w:r>
        <w:rPr>
          <w:rFonts w:hint="eastAsia" w:ascii="宋体" w:hAnsi="宋体"/>
          <w:color w:val="000000"/>
          <w:sz w:val="24"/>
        </w:rPr>
        <w:t>室）。</w:t>
      </w:r>
    </w:p>
    <w:p w14:paraId="33DDAD6A">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.请参加调研供应商报名后及时按照调研文件要求提前做好调研响应文件，调研具体时间以电话或短信通知为准。如未收到电话或短信通知请及时与我们联系，如因电话或短信漏接造成的后果由供应商自行承担。</w:t>
      </w:r>
    </w:p>
    <w:p w14:paraId="222509EA">
      <w:pPr>
        <w:spacing w:line="360" w:lineRule="auto"/>
        <w:ind w:firstLine="480" w:firstLineChars="200"/>
        <w:rPr>
          <w:rFonts w:ascii="宋体" w:hAnsi="宋体"/>
          <w:color w:val="000000"/>
          <w:sz w:val="24"/>
        </w:rPr>
      </w:pPr>
      <w:r>
        <w:rPr>
          <w:rFonts w:hint="eastAsia" w:ascii="宋体" w:hAnsi="宋体"/>
          <w:color w:val="000000"/>
          <w:sz w:val="24"/>
        </w:rPr>
        <w:t>3.根据国家相关政策规定，属于医疗器械监督管理的设备，递交调研响应文件时须携带</w:t>
      </w:r>
      <w:r>
        <w:rPr>
          <w:color w:val="000000"/>
          <w:sz w:val="24"/>
        </w:rPr>
        <w:t>医疗器械</w:t>
      </w:r>
      <w:r>
        <w:rPr>
          <w:rFonts w:hint="eastAsia"/>
          <w:color w:val="000000"/>
          <w:sz w:val="24"/>
        </w:rPr>
        <w:t>产品</w:t>
      </w:r>
      <w:r>
        <w:rPr>
          <w:color w:val="000000"/>
          <w:sz w:val="24"/>
        </w:rPr>
        <w:t>注册证</w:t>
      </w:r>
      <w:r>
        <w:rPr>
          <w:rFonts w:hint="eastAsia" w:ascii="宋体" w:hAnsi="宋体"/>
          <w:color w:val="000000"/>
          <w:sz w:val="24"/>
        </w:rPr>
        <w:t>或产品备案凭证</w:t>
      </w:r>
      <w:r>
        <w:rPr>
          <w:color w:val="000000"/>
          <w:sz w:val="24"/>
        </w:rPr>
        <w:t>、医疗器械经营许可证</w:t>
      </w:r>
      <w:r>
        <w:rPr>
          <w:rFonts w:hint="eastAsia"/>
          <w:color w:val="000000"/>
          <w:sz w:val="24"/>
        </w:rPr>
        <w:t>或医疗器械经营备案凭证复印件并加盖公章。</w:t>
      </w:r>
      <w:r>
        <w:rPr>
          <w:color w:val="000000"/>
          <w:sz w:val="24"/>
        </w:rPr>
        <w:t>代理商做为</w:t>
      </w:r>
      <w:r>
        <w:rPr>
          <w:rFonts w:hint="eastAsia" w:ascii="宋体" w:hAnsi="宋体"/>
          <w:color w:val="000000"/>
          <w:sz w:val="24"/>
        </w:rPr>
        <w:t>参加调研供应商参加调研</w:t>
      </w:r>
      <w:r>
        <w:rPr>
          <w:rFonts w:hint="eastAsia"/>
          <w:color w:val="000000"/>
          <w:sz w:val="24"/>
        </w:rPr>
        <w:t>的须提供</w:t>
      </w:r>
      <w:r>
        <w:rPr>
          <w:color w:val="000000"/>
          <w:sz w:val="24"/>
        </w:rPr>
        <w:t>设备制造商提供的授权书</w:t>
      </w:r>
      <w:r>
        <w:rPr>
          <w:rFonts w:hint="eastAsia"/>
          <w:color w:val="000000"/>
          <w:sz w:val="24"/>
        </w:rPr>
        <w:t>（指进口设备），非进口设备参加调研供应商须承诺外送招标前提供生产企业针对本项目的授权书及售后服务承诺书；</w:t>
      </w:r>
    </w:p>
    <w:p w14:paraId="33E8AFED">
      <w:pPr>
        <w:spacing w:line="360" w:lineRule="auto"/>
        <w:ind w:firstLine="480" w:firstLineChars="200"/>
        <w:rPr>
          <w:rFonts w:hint="eastAsia" w:ascii="宋体" w:hAnsi="宋体"/>
          <w:color w:val="000000"/>
          <w:sz w:val="24"/>
        </w:rPr>
      </w:pPr>
      <w:r>
        <w:rPr>
          <w:rFonts w:hint="eastAsia" w:ascii="宋体" w:hAnsi="宋体"/>
          <w:color w:val="000000"/>
          <w:sz w:val="24"/>
        </w:rPr>
        <w:t>4</w:t>
      </w:r>
      <w:r>
        <w:rPr>
          <w:rFonts w:ascii="宋体" w:hAnsi="宋体"/>
          <w:color w:val="000000"/>
          <w:sz w:val="24"/>
        </w:rPr>
        <w:t>.</w:t>
      </w:r>
      <w:r>
        <w:rPr>
          <w:rFonts w:hint="eastAsia" w:ascii="宋体" w:hAnsi="宋体"/>
          <w:color w:val="000000"/>
          <w:sz w:val="24"/>
        </w:rPr>
        <w:t>调研响应文件接收截止时间为调研会开始时间，</w:t>
      </w:r>
      <w:r>
        <w:rPr>
          <w:rFonts w:hint="eastAsia" w:ascii="宋体" w:hAnsi="宋体" w:cs="宋体"/>
          <w:color w:val="000000"/>
          <w:kern w:val="0"/>
          <w:sz w:val="24"/>
          <w:shd w:val="clear" w:color="auto" w:fill="FFFFFF"/>
        </w:rPr>
        <w:t>其后所递交的调研响应文件恕不接受。</w:t>
      </w:r>
    </w:p>
    <w:p w14:paraId="413569F6">
      <w:pPr>
        <w:spacing w:line="360" w:lineRule="auto"/>
        <w:rPr>
          <w:rFonts w:hint="eastAsia" w:ascii="宋体" w:hAnsi="宋体"/>
          <w:b/>
          <w:color w:val="000000"/>
          <w:sz w:val="24"/>
        </w:rPr>
      </w:pPr>
      <w:r>
        <w:rPr>
          <w:rFonts w:hint="eastAsia" w:ascii="宋体" w:hAnsi="宋体"/>
          <w:b/>
          <w:color w:val="000000"/>
          <w:sz w:val="24"/>
        </w:rPr>
        <w:t>八、联系事项：</w:t>
      </w:r>
    </w:p>
    <w:p w14:paraId="5935E293">
      <w:pPr>
        <w:spacing w:line="360" w:lineRule="auto"/>
        <w:ind w:firstLine="480" w:firstLineChars="200"/>
        <w:rPr>
          <w:rFonts w:ascii="宋体" w:hAnsi="宋体"/>
          <w:color w:val="000000"/>
          <w:sz w:val="24"/>
        </w:rPr>
      </w:pPr>
      <w:r>
        <w:rPr>
          <w:rFonts w:hint="eastAsia" w:ascii="宋体" w:hAnsi="宋体"/>
          <w:color w:val="000000"/>
          <w:sz w:val="24"/>
        </w:rPr>
        <w:t>参加调研供应商如对调研事项有任何疑问，请及时与我们联系！</w:t>
      </w:r>
    </w:p>
    <w:p w14:paraId="219F580F">
      <w:pPr>
        <w:spacing w:line="360" w:lineRule="auto"/>
        <w:ind w:firstLine="480" w:firstLineChars="200"/>
        <w:rPr>
          <w:rFonts w:hint="eastAsia" w:ascii="宋体" w:hAnsi="宋体" w:eastAsia="宋体"/>
          <w:color w:val="000000"/>
          <w:sz w:val="24"/>
          <w:lang w:eastAsia="zh-CN"/>
        </w:rPr>
      </w:pPr>
      <w:r>
        <w:rPr>
          <w:rFonts w:hint="eastAsia" w:ascii="宋体" w:hAnsi="宋体"/>
          <w:color w:val="000000"/>
          <w:sz w:val="24"/>
        </w:rPr>
        <w:t>联系部门：江苏省中医院</w:t>
      </w:r>
      <w:r>
        <w:rPr>
          <w:rFonts w:hint="eastAsia" w:ascii="宋体" w:hAnsi="宋体"/>
          <w:color w:val="000000"/>
          <w:sz w:val="24"/>
          <w:lang w:eastAsia="zh-CN"/>
        </w:rPr>
        <w:t>医学工程处</w:t>
      </w:r>
    </w:p>
    <w:p w14:paraId="05819B64">
      <w:pPr>
        <w:spacing w:line="360" w:lineRule="auto"/>
        <w:ind w:firstLine="480" w:firstLineChars="200"/>
        <w:rPr>
          <w:rFonts w:ascii="宋体" w:hAnsi="宋体"/>
          <w:color w:val="000000"/>
          <w:sz w:val="24"/>
        </w:rPr>
      </w:pPr>
      <w:r>
        <w:rPr>
          <w:rFonts w:hint="eastAsia" w:ascii="宋体" w:hAnsi="宋体"/>
          <w:color w:val="000000"/>
          <w:sz w:val="24"/>
        </w:rPr>
        <w:t xml:space="preserve">联系人：  </w:t>
      </w:r>
      <w:r>
        <w:rPr>
          <w:rFonts w:hint="eastAsia" w:ascii="宋体" w:hAnsi="宋体"/>
          <w:color w:val="000000"/>
          <w:sz w:val="24"/>
          <w:lang w:val="en-US" w:eastAsia="zh-CN"/>
        </w:rPr>
        <w:t>徐</w:t>
      </w:r>
      <w:r>
        <w:rPr>
          <w:rFonts w:hint="eastAsia" w:ascii="宋体" w:hAnsi="宋体"/>
          <w:color w:val="000000"/>
          <w:sz w:val="24"/>
        </w:rPr>
        <w:t>老师</w:t>
      </w:r>
    </w:p>
    <w:p w14:paraId="0C1FDE7C">
      <w:pPr>
        <w:spacing w:line="360" w:lineRule="auto"/>
        <w:ind w:firstLine="480" w:firstLineChars="200"/>
        <w:rPr>
          <w:rFonts w:hint="eastAsia" w:ascii="宋体" w:hAnsi="宋体"/>
          <w:color w:val="000000"/>
          <w:sz w:val="24"/>
        </w:rPr>
      </w:pPr>
      <w:r>
        <w:rPr>
          <w:rFonts w:hint="eastAsia" w:ascii="宋体" w:hAnsi="宋体"/>
          <w:color w:val="000000"/>
          <w:sz w:val="24"/>
        </w:rPr>
        <w:t>联系地址：江苏省中医院</w:t>
      </w:r>
      <w:r>
        <w:rPr>
          <w:rFonts w:hint="eastAsia" w:ascii="宋体" w:hAnsi="宋体"/>
          <w:color w:val="000000"/>
          <w:sz w:val="24"/>
          <w:lang w:eastAsia="zh-CN"/>
        </w:rPr>
        <w:t>医学工程处</w:t>
      </w:r>
      <w:r>
        <w:rPr>
          <w:rFonts w:hint="eastAsia" w:ascii="宋体" w:hAnsi="宋体"/>
          <w:color w:val="000000"/>
          <w:sz w:val="24"/>
        </w:rPr>
        <w:t>（南京市汉中路155号5号楼41</w:t>
      </w:r>
      <w:r>
        <w:rPr>
          <w:rFonts w:hint="eastAsia" w:ascii="宋体" w:hAnsi="宋体"/>
          <w:color w:val="000000"/>
          <w:sz w:val="24"/>
          <w:lang w:val="en-US" w:eastAsia="zh-CN"/>
        </w:rPr>
        <w:t>8</w:t>
      </w:r>
      <w:r>
        <w:rPr>
          <w:rFonts w:hint="eastAsia" w:ascii="宋体" w:hAnsi="宋体"/>
          <w:color w:val="000000"/>
          <w:sz w:val="24"/>
        </w:rPr>
        <w:t>室）。</w:t>
      </w:r>
    </w:p>
    <w:p w14:paraId="55C38875">
      <w:pPr>
        <w:spacing w:line="360" w:lineRule="auto"/>
        <w:ind w:firstLine="480" w:firstLineChars="200"/>
        <w:rPr>
          <w:rFonts w:hint="eastAsia"/>
        </w:rPr>
      </w:pPr>
      <w:r>
        <w:rPr>
          <w:rFonts w:hint="eastAsia" w:ascii="宋体" w:hAnsi="宋体"/>
          <w:color w:val="000000"/>
          <w:sz w:val="24"/>
        </w:rPr>
        <w:t>联系方式 ：025-86617141-5041</w:t>
      </w:r>
      <w:r>
        <w:rPr>
          <w:rFonts w:hint="eastAsia" w:ascii="宋体" w:hAnsi="宋体"/>
          <w:color w:val="000000"/>
          <w:sz w:val="24"/>
          <w:lang w:val="en-US" w:eastAsia="zh-CN"/>
        </w:rPr>
        <w:t>8</w:t>
      </w:r>
      <w:r>
        <w:rPr>
          <w:rFonts w:hint="eastAsia" w:ascii="宋体" w:hAnsi="宋体"/>
          <w:color w:val="000000"/>
          <w:sz w:val="24"/>
        </w:rPr>
        <w:t>。</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C271F"/>
    <w:rsid w:val="00205CCB"/>
    <w:rsid w:val="003D55BB"/>
    <w:rsid w:val="00417104"/>
    <w:rsid w:val="005A450E"/>
    <w:rsid w:val="00651A5A"/>
    <w:rsid w:val="00657B35"/>
    <w:rsid w:val="00715329"/>
    <w:rsid w:val="007B32DA"/>
    <w:rsid w:val="007C4CE2"/>
    <w:rsid w:val="00814176"/>
    <w:rsid w:val="008F2330"/>
    <w:rsid w:val="009210F6"/>
    <w:rsid w:val="00A56EA1"/>
    <w:rsid w:val="00A613F9"/>
    <w:rsid w:val="00B17274"/>
    <w:rsid w:val="00BD0FCF"/>
    <w:rsid w:val="00CE409F"/>
    <w:rsid w:val="00CE6B32"/>
    <w:rsid w:val="00F30B71"/>
    <w:rsid w:val="03545F42"/>
    <w:rsid w:val="3FF52791"/>
    <w:rsid w:val="429B4163"/>
    <w:rsid w:val="4B39661E"/>
    <w:rsid w:val="4CB60273"/>
    <w:rsid w:val="502450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3"/>
    <w:qFormat/>
    <w:uiPriority w:val="9"/>
    <w:pPr>
      <w:keepNext/>
      <w:keepLines/>
      <w:spacing w:before="340" w:after="330" w:line="578" w:lineRule="auto"/>
      <w:jc w:val="center"/>
      <w:outlineLvl w:val="0"/>
    </w:pPr>
    <w:rPr>
      <w:b/>
      <w:bCs/>
      <w:kern w:val="44"/>
      <w:sz w:val="52"/>
      <w:szCs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0"/>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Title"/>
    <w:basedOn w:val="1"/>
    <w:next w:val="1"/>
    <w:link w:val="12"/>
    <w:qFormat/>
    <w:uiPriority w:val="0"/>
    <w:pPr>
      <w:jc w:val="center"/>
      <w:outlineLvl w:val="2"/>
    </w:pPr>
    <w:rPr>
      <w:rFonts w:ascii="宋体" w:hAnsi="宋体"/>
      <w:b/>
      <w:bCs/>
      <w:kern w:val="0"/>
      <w:sz w:val="36"/>
      <w:szCs w:val="32"/>
    </w:rPr>
  </w:style>
  <w:style w:type="character" w:styleId="8">
    <w:name w:val="Hyperlink"/>
    <w:semiHidden/>
    <w:unhideWhenUsed/>
    <w:qFormat/>
    <w:uiPriority w:val="99"/>
    <w:rPr>
      <w:color w:val="0000FF"/>
      <w:u w:val="single"/>
    </w:rPr>
  </w:style>
  <w:style w:type="character" w:customStyle="1" w:styleId="9">
    <w:name w:val="页眉 字符"/>
    <w:basedOn w:val="7"/>
    <w:link w:val="4"/>
    <w:qFormat/>
    <w:uiPriority w:val="99"/>
    <w:rPr>
      <w:sz w:val="18"/>
      <w:szCs w:val="18"/>
    </w:rPr>
  </w:style>
  <w:style w:type="character" w:customStyle="1" w:styleId="10">
    <w:name w:val="页脚 字符"/>
    <w:basedOn w:val="7"/>
    <w:link w:val="3"/>
    <w:qFormat/>
    <w:uiPriority w:val="99"/>
    <w:rPr>
      <w:sz w:val="18"/>
      <w:szCs w:val="18"/>
    </w:rPr>
  </w:style>
  <w:style w:type="character" w:customStyle="1" w:styleId="11">
    <w:name w:val="标题 字符"/>
    <w:basedOn w:val="7"/>
    <w:qFormat/>
    <w:uiPriority w:val="10"/>
    <w:rPr>
      <w:rFonts w:asciiTheme="majorHAnsi" w:hAnsiTheme="majorHAnsi" w:eastAsiaTheme="majorEastAsia" w:cstheme="majorBidi"/>
      <w:b/>
      <w:bCs/>
      <w:sz w:val="32"/>
      <w:szCs w:val="32"/>
    </w:rPr>
  </w:style>
  <w:style w:type="character" w:customStyle="1" w:styleId="12">
    <w:name w:val="标题 字符1"/>
    <w:link w:val="5"/>
    <w:qFormat/>
    <w:uiPriority w:val="0"/>
    <w:rPr>
      <w:rFonts w:ascii="宋体" w:hAnsi="宋体" w:eastAsia="宋体" w:cs="Times New Roman"/>
      <w:b/>
      <w:bCs/>
      <w:kern w:val="0"/>
      <w:sz w:val="36"/>
      <w:szCs w:val="32"/>
    </w:rPr>
  </w:style>
  <w:style w:type="character" w:customStyle="1" w:styleId="13">
    <w:name w:val="标题 1 字符"/>
    <w:basedOn w:val="7"/>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1595</Words>
  <Characters>1716</Characters>
  <Lines>1</Lines>
  <Paragraphs>1</Paragraphs>
  <TotalTime>0</TotalTime>
  <ScaleCrop>false</ScaleCrop>
  <LinksUpToDate>false</LinksUpToDate>
  <CharactersWithSpaces>1735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2026-08-10T03:01:05Z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419023D5CBEF4A55903009F22291B904_12</vt:lpwstr>
  </property>
</Properties>
</file>